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1AE2D2" w14:textId="5CE5217E" w:rsidR="00085104" w:rsidRDefault="00187977">
      <w:hyperlink r:id="rId4" w:history="1">
        <w:r w:rsidRPr="005B5C07">
          <w:rPr>
            <w:rStyle w:val="Hyperlink"/>
          </w:rPr>
          <w:t>https://www.texastribune.org/2013/07/08/weak-governor-system-strong-governor/</w:t>
        </w:r>
      </w:hyperlink>
    </w:p>
    <w:p w14:paraId="5CDD7845" w14:textId="57FFEAB3" w:rsidR="00187977" w:rsidRDefault="00187977" w:rsidP="00187977">
      <w:hyperlink r:id="rId5" w:history="1">
        <w:r w:rsidRPr="005B5C07">
          <w:rPr>
            <w:rStyle w:val="Hyperlink"/>
          </w:rPr>
          <w:t>https://www.texastribune.org/2018/12/27/does-texas-legislature-work-full-time/?utm_source=articleshare&amp;utm_medium=social</w:t>
        </w:r>
      </w:hyperlink>
    </w:p>
    <w:p w14:paraId="7DAD386C" w14:textId="77777777" w:rsidR="00187977" w:rsidRDefault="00187977" w:rsidP="00187977"/>
    <w:sectPr w:rsidR="001879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bA0NDM3NDezNDewtDBX0lEKTi0uzszPAykwrAUAQB0LNywAAAA="/>
  </w:docVars>
  <w:rsids>
    <w:rsidRoot w:val="00187977"/>
    <w:rsid w:val="00085104"/>
    <w:rsid w:val="0018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25D38"/>
  <w15:chartTrackingRefBased/>
  <w15:docId w15:val="{5BF3B0B7-B284-4C62-A1EC-E4452595C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8797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79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texastribune.org/2018/12/27/does-texas-legislature-work-full-time/?utm_source=articleshare&amp;utm_medium=social" TargetMode="External"/><Relationship Id="rId4" Type="http://schemas.openxmlformats.org/officeDocument/2006/relationships/hyperlink" Target="https://www.texastribune.org/2013/07/08/weak-governor-system-strong-governo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367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Dang Khanh Nguyen</dc:creator>
  <cp:keywords/>
  <dc:description/>
  <cp:lastModifiedBy>Dang Khanh Nguyen</cp:lastModifiedBy>
  <cp:revision>2</cp:revision>
  <dcterms:created xsi:type="dcterms:W3CDTF">2020-11-03T22:40:00Z</dcterms:created>
  <dcterms:modified xsi:type="dcterms:W3CDTF">2020-11-03T22:40:00Z</dcterms:modified>
</cp:coreProperties>
</file>